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0FBC" w14:textId="41D35E8B" w:rsidR="0094289E" w:rsidRDefault="00000000">
      <w:pPr>
        <w:spacing w:after="80"/>
        <w:jc w:val="center"/>
      </w:pPr>
      <w:r>
        <w:rPr>
          <w:b/>
          <w:bCs/>
          <w:color w:val="1F4E79"/>
          <w:sz w:val="36"/>
          <w:szCs w:val="36"/>
        </w:rPr>
        <w:t xml:space="preserve">SÁRVÁR </w:t>
      </w:r>
    </w:p>
    <w:p w14:paraId="500299CE" w14:textId="77777777" w:rsidR="0094289E" w:rsidRDefault="00000000">
      <w:pPr>
        <w:spacing w:after="80"/>
        <w:jc w:val="center"/>
      </w:pPr>
      <w:r>
        <w:rPr>
          <w:color w:val="2E75B6"/>
          <w:sz w:val="26"/>
          <w:szCs w:val="26"/>
        </w:rPr>
        <w:t>Látogatómenedzsment Politika 2025</w:t>
      </w:r>
    </w:p>
    <w:p w14:paraId="0ED34D01" w14:textId="77777777" w:rsidR="0094289E" w:rsidRDefault="00000000">
      <w:pPr>
        <w:spacing w:after="80"/>
        <w:jc w:val="center"/>
      </w:pPr>
      <w:r>
        <w:rPr>
          <w:b/>
          <w:bCs/>
          <w:color w:val="2E75B6"/>
          <w:sz w:val="24"/>
          <w:szCs w:val="24"/>
        </w:rPr>
        <w:t>Féléves Haladási Jelentés és Társadalmi Hatások Összefoglalója</w:t>
      </w:r>
    </w:p>
    <w:p w14:paraId="5B3DD8AF" w14:textId="77BD7ECA" w:rsidR="0094289E" w:rsidRDefault="00000000">
      <w:pPr>
        <w:spacing w:after="80"/>
        <w:jc w:val="center"/>
      </w:pPr>
      <w:r>
        <w:rPr>
          <w:i/>
          <w:iCs/>
          <w:color w:val="595959"/>
          <w:sz w:val="20"/>
          <w:szCs w:val="20"/>
        </w:rPr>
        <w:t>Jelentési időszak: 202</w:t>
      </w:r>
      <w:r w:rsidR="00316A90">
        <w:rPr>
          <w:i/>
          <w:iCs/>
          <w:color w:val="595959"/>
          <w:sz w:val="20"/>
          <w:szCs w:val="20"/>
        </w:rPr>
        <w:t>5</w:t>
      </w:r>
      <w:r>
        <w:rPr>
          <w:i/>
          <w:iCs/>
          <w:color w:val="595959"/>
          <w:sz w:val="20"/>
          <w:szCs w:val="20"/>
        </w:rPr>
        <w:t xml:space="preserve">. november – 2026. </w:t>
      </w:r>
      <w:proofErr w:type="gramStart"/>
      <w:r>
        <w:rPr>
          <w:i/>
          <w:iCs/>
          <w:color w:val="595959"/>
          <w:sz w:val="20"/>
          <w:szCs w:val="20"/>
        </w:rPr>
        <w:t>május  |</w:t>
      </w:r>
      <w:proofErr w:type="gramEnd"/>
      <w:r>
        <w:rPr>
          <w:i/>
          <w:iCs/>
          <w:color w:val="595959"/>
          <w:sz w:val="20"/>
          <w:szCs w:val="20"/>
        </w:rPr>
        <w:t xml:space="preserve">  </w:t>
      </w:r>
      <w:proofErr w:type="spellStart"/>
      <w:r>
        <w:rPr>
          <w:i/>
          <w:iCs/>
          <w:color w:val="595959"/>
          <w:sz w:val="20"/>
          <w:szCs w:val="20"/>
        </w:rPr>
        <w:t>Közzétéve</w:t>
      </w:r>
      <w:proofErr w:type="spellEnd"/>
      <w:r>
        <w:rPr>
          <w:i/>
          <w:iCs/>
          <w:color w:val="595959"/>
          <w:sz w:val="20"/>
          <w:szCs w:val="20"/>
        </w:rPr>
        <w:t>: 2026. május</w:t>
      </w:r>
    </w:p>
    <w:p w14:paraId="6EAE89B0" w14:textId="3BB6060B" w:rsidR="0094289E" w:rsidRDefault="00000000">
      <w:pPr>
        <w:spacing w:after="240"/>
        <w:jc w:val="center"/>
      </w:pPr>
      <w:r>
        <w:rPr>
          <w:color w:val="595959"/>
          <w:sz w:val="20"/>
          <w:szCs w:val="20"/>
        </w:rPr>
        <w:t xml:space="preserve">Készítette: Sárvár </w:t>
      </w:r>
      <w:proofErr w:type="spellStart"/>
      <w:r>
        <w:rPr>
          <w:color w:val="595959"/>
          <w:sz w:val="20"/>
          <w:szCs w:val="20"/>
        </w:rPr>
        <w:t>Tourist</w:t>
      </w:r>
      <w:proofErr w:type="spellEnd"/>
      <w:r>
        <w:rPr>
          <w:color w:val="595959"/>
          <w:sz w:val="20"/>
          <w:szCs w:val="20"/>
        </w:rPr>
        <w:t xml:space="preserve"> &amp; TDM Nonprofit Kft. </w:t>
      </w:r>
    </w:p>
    <w:p w14:paraId="38E51628" w14:textId="77777777" w:rsidR="0094289E" w:rsidRDefault="0094289E">
      <w:pPr>
        <w:pBdr>
          <w:bottom w:val="single" w:sz="6" w:space="1" w:color="1F4E79"/>
        </w:pBdr>
        <w:spacing w:after="240"/>
      </w:pPr>
    </w:p>
    <w:p w14:paraId="478FC1B1" w14:textId="77777777" w:rsidR="0094289E" w:rsidRDefault="00000000">
      <w:pPr>
        <w:pStyle w:val="Cmsor1"/>
      </w:pPr>
      <w:r>
        <w:t>1. A jelentés célja és hatálya</w:t>
      </w:r>
    </w:p>
    <w:p w14:paraId="71066FE0" w14:textId="7DAA1D89" w:rsidR="0094289E" w:rsidRDefault="00000000">
      <w:pPr>
        <w:spacing w:before="80" w:after="80"/>
      </w:pPr>
      <w:r>
        <w:t xml:space="preserve">Ez a jelentés a </w:t>
      </w:r>
      <w:r w:rsidR="00316A90" w:rsidRPr="00316A90">
        <w:t xml:space="preserve">Sárvár </w:t>
      </w:r>
      <w:proofErr w:type="spellStart"/>
      <w:r w:rsidR="00316A90" w:rsidRPr="00316A90">
        <w:t>Tourist</w:t>
      </w:r>
      <w:proofErr w:type="spellEnd"/>
      <w:r w:rsidR="00316A90" w:rsidRPr="00316A90">
        <w:t xml:space="preserve"> &amp; TDM Nonprofit Kft. </w:t>
      </w:r>
      <w:r>
        <w:t>által 202</w:t>
      </w:r>
      <w:r w:rsidR="00316A90">
        <w:t>5</w:t>
      </w:r>
      <w:r>
        <w:t xml:space="preserve"> novemberében elfogadott Látogatómenedzsment Politika első haladási értékelését tartalmazza. A 202</w:t>
      </w:r>
      <w:r w:rsidR="00316A90">
        <w:t>5</w:t>
      </w:r>
      <w:r>
        <w:t xml:space="preserve">. novembertől 2026. májusig terjedő időszakot dolgozza fel: bemutatja a megtett intézkedéseket, a KPI-teljesítést, a társadalmi hatások </w:t>
      </w:r>
      <w:proofErr w:type="spellStart"/>
      <w:r>
        <w:t>monitoringjának</w:t>
      </w:r>
      <w:proofErr w:type="spellEnd"/>
      <w:r>
        <w:t xml:space="preserve"> eredményeit és a következő lépéseket. A jelentést évente közzéteszik a sárvári turisztikai portálon (sarvar.hu) és az önkormányzati weboldalon (sarvarvaros.hu) a Politika átláthatósági kötelezettségeivel összhangban.</w:t>
      </w:r>
    </w:p>
    <w:p w14:paraId="1EFED6A5" w14:textId="77777777" w:rsidR="0094289E" w:rsidRDefault="00000000">
      <w:pPr>
        <w:spacing w:before="80" w:after="80"/>
      </w:pPr>
      <w:r>
        <w:t xml:space="preserve">A dokumentum egyúttal Sárvár éves Társadalmi Hatások Összefoglalójaként is szolgál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Destinations</w:t>
      </w:r>
      <w:proofErr w:type="spellEnd"/>
      <w:r>
        <w:t xml:space="preserve"> Standard V2 5.15. kritériuma keretében, igazolva, hogy a turizmus helyi közösségre gyakorolt társadalmi hatásait rendszeresen és nyilvánosan </w:t>
      </w:r>
      <w:proofErr w:type="spellStart"/>
      <w:r>
        <w:t>monitorozzák</w:t>
      </w:r>
      <w:proofErr w:type="spellEnd"/>
      <w:r>
        <w:t>.</w:t>
      </w:r>
    </w:p>
    <w:p w14:paraId="317D2B91" w14:textId="77777777" w:rsidR="0094289E" w:rsidRDefault="0094289E">
      <w:pPr>
        <w:spacing w:before="80" w:after="80"/>
      </w:pPr>
    </w:p>
    <w:p w14:paraId="29FD3949" w14:textId="77777777" w:rsidR="0094289E" w:rsidRDefault="0094289E">
      <w:pPr>
        <w:pBdr>
          <w:bottom w:val="single" w:sz="4" w:space="1" w:color="2E75B6"/>
        </w:pBdr>
        <w:spacing w:before="160" w:after="160"/>
      </w:pPr>
    </w:p>
    <w:p w14:paraId="728B76AA" w14:textId="77777777" w:rsidR="0094289E" w:rsidRDefault="00000000">
      <w:pPr>
        <w:pStyle w:val="Cmsor1"/>
      </w:pPr>
      <w:r>
        <w:t>2. A Látogatómenedzsment Politika áttekintése</w:t>
      </w:r>
    </w:p>
    <w:p w14:paraId="6B544D18" w14:textId="77777777" w:rsidR="0094289E" w:rsidRDefault="00000000">
      <w:pPr>
        <w:spacing w:before="80" w:after="80"/>
      </w:pPr>
      <w:r>
        <w:t xml:space="preserve">A Látogatómenedzsment Politika 2025 </w:t>
      </w:r>
      <w:proofErr w:type="spellStart"/>
      <w:r>
        <w:t>adatvezérelt</w:t>
      </w:r>
      <w:proofErr w:type="spellEnd"/>
      <w:r>
        <w:t>, adaptív menedzsmentkeret, amelynek célja a turisztikai terhelés kezelése és a helyi gazdaság, közösség, kultúra és természeti környezet védelme. Három pillére:</w:t>
      </w:r>
    </w:p>
    <w:p w14:paraId="1C1E7CCB" w14:textId="77777777" w:rsidR="0094289E" w:rsidRDefault="009428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94289E" w14:paraId="668085E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640F3" w14:textId="77777777" w:rsidR="0094289E" w:rsidRDefault="00000000">
            <w:r>
              <w:rPr>
                <w:b/>
                <w:bCs/>
                <w:sz w:val="20"/>
                <w:szCs w:val="20"/>
              </w:rPr>
              <w:t>Pillér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695DF" w14:textId="77777777" w:rsidR="0094289E" w:rsidRDefault="00000000">
            <w:r>
              <w:rPr>
                <w:b/>
                <w:bCs/>
                <w:sz w:val="20"/>
                <w:szCs w:val="20"/>
              </w:rPr>
              <w:t>Leírás</w:t>
            </w:r>
          </w:p>
        </w:tc>
      </w:tr>
      <w:tr w:rsidR="0094289E" w14:paraId="42CC098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E7697" w14:textId="77777777" w:rsidR="0094289E" w:rsidRDefault="00000000">
            <w:r>
              <w:rPr>
                <w:sz w:val="20"/>
                <w:szCs w:val="20"/>
              </w:rPr>
              <w:t xml:space="preserve">Társadalmi hatások </w:t>
            </w:r>
            <w:proofErr w:type="spellStart"/>
            <w:r>
              <w:rPr>
                <w:sz w:val="20"/>
                <w:szCs w:val="20"/>
              </w:rPr>
              <w:t>monitoringja</w:t>
            </w:r>
            <w:proofErr w:type="spellEnd"/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8601D" w14:textId="77777777" w:rsidR="0094289E" w:rsidRDefault="00000000">
            <w:r>
              <w:rPr>
                <w:sz w:val="20"/>
                <w:szCs w:val="20"/>
              </w:rPr>
              <w:t>A közösségre nehezedő nyomás éves mérése: zsúfoltság, zaj, parkolás, érzékelt hasznok – a lakói elégedettségi felmérés és a panaszportál segítségével</w:t>
            </w:r>
          </w:p>
        </w:tc>
      </w:tr>
      <w:tr w:rsidR="0094289E" w14:paraId="32779F8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68DCF" w14:textId="77777777" w:rsidR="0094289E" w:rsidRDefault="00000000">
            <w:r>
              <w:rPr>
                <w:sz w:val="20"/>
                <w:szCs w:val="20"/>
              </w:rPr>
              <w:t>Marketing és célzás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B0B27" w14:textId="77777777" w:rsidR="0094289E" w:rsidRDefault="00000000">
            <w:r>
              <w:rPr>
                <w:sz w:val="20"/>
                <w:szCs w:val="20"/>
              </w:rPr>
              <w:t>Adatalapú döntések a kereslet szezonon kívülre és másodlagos helyszínekre terelésére – a szezonon kívüli arány és a csomag-konverziós ráta KPI-okkal mérve</w:t>
            </w:r>
          </w:p>
        </w:tc>
      </w:tr>
      <w:tr w:rsidR="0094289E" w14:paraId="50FE416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0A988" w14:textId="77777777" w:rsidR="0094289E" w:rsidRDefault="00000000">
            <w:r>
              <w:rPr>
                <w:sz w:val="20"/>
                <w:szCs w:val="20"/>
              </w:rPr>
              <w:t>Látogatómenedzsment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4A0EC" w14:textId="77777777" w:rsidR="0094289E" w:rsidRDefault="00000000">
            <w:r>
              <w:rPr>
                <w:sz w:val="20"/>
                <w:szCs w:val="20"/>
              </w:rPr>
              <w:t>Helyszíni komfortküszöbök, időzített belépés, eseménykorlátok, puha mobilitási ösztönzők – csúcsidős számok és elégedettségi mutatók alapján nyomon követve</w:t>
            </w:r>
          </w:p>
        </w:tc>
      </w:tr>
    </w:tbl>
    <w:p w14:paraId="451F9A5B" w14:textId="77777777" w:rsidR="0094289E" w:rsidRDefault="0094289E">
      <w:pPr>
        <w:spacing w:before="80" w:after="80"/>
      </w:pPr>
    </w:p>
    <w:p w14:paraId="687166A7" w14:textId="77777777" w:rsidR="0094289E" w:rsidRDefault="0094289E">
      <w:pPr>
        <w:pBdr>
          <w:bottom w:val="single" w:sz="4" w:space="1" w:color="2E75B6"/>
        </w:pBdr>
        <w:spacing w:before="160" w:after="160"/>
      </w:pPr>
    </w:p>
    <w:p w14:paraId="617C0D73" w14:textId="77777777" w:rsidR="0094289E" w:rsidRDefault="00000000">
      <w:pPr>
        <w:pStyle w:val="Cmsor1"/>
      </w:pPr>
      <w:r>
        <w:t>3. Vendégforgalom és nyomásindikátorok</w:t>
      </w:r>
    </w:p>
    <w:p w14:paraId="6F1CED7C" w14:textId="77777777" w:rsidR="0094289E" w:rsidRDefault="00000000">
      <w:pPr>
        <w:pStyle w:val="Cmsor2"/>
      </w:pPr>
      <w:r>
        <w:t>3.1 Vendégszámok és társadalmi nyomásarány</w:t>
      </w:r>
    </w:p>
    <w:p w14:paraId="43CF9FCA" w14:textId="77777777" w:rsidR="0094289E" w:rsidRDefault="00000000">
      <w:pPr>
        <w:spacing w:before="80" w:after="80"/>
      </w:pPr>
      <w:r>
        <w:t xml:space="preserve">A vendégforgalmat a KSH STADAT települési szintű havi adatbázisa alapján </w:t>
      </w:r>
      <w:proofErr w:type="spellStart"/>
      <w:r>
        <w:t>monitorozzuk</w:t>
      </w:r>
      <w:proofErr w:type="spellEnd"/>
      <w:r>
        <w:t xml:space="preserve"> (https://www.ksh.hu/stadat). A vendég/lakos arány a fő társadalmi nyomásindikátor:</w:t>
      </w:r>
    </w:p>
    <w:p w14:paraId="0F31D7E3" w14:textId="77777777" w:rsidR="0094289E" w:rsidRDefault="009428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3"/>
        <w:gridCol w:w="1919"/>
        <w:gridCol w:w="1979"/>
        <w:gridCol w:w="1979"/>
      </w:tblGrid>
      <w:tr w:rsidR="0094289E" w14:paraId="454A2EC3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3C83B" w14:textId="77777777" w:rsidR="0094289E" w:rsidRDefault="00000000">
            <w:r>
              <w:rPr>
                <w:b/>
                <w:bCs/>
                <w:sz w:val="20"/>
                <w:szCs w:val="20"/>
              </w:rPr>
              <w:t>Év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52BB8" w14:textId="77777777" w:rsidR="0094289E" w:rsidRDefault="00000000">
            <w:r>
              <w:rPr>
                <w:b/>
                <w:bCs/>
                <w:sz w:val="20"/>
                <w:szCs w:val="20"/>
              </w:rPr>
              <w:t>Vendégérkezések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AF2BB" w14:textId="77777777" w:rsidR="0094289E" w:rsidRDefault="00000000">
            <w:r>
              <w:rPr>
                <w:b/>
                <w:bCs/>
                <w:sz w:val="20"/>
                <w:szCs w:val="20"/>
              </w:rPr>
              <w:t>~Lakónépesség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ED550" w14:textId="77777777" w:rsidR="0094289E" w:rsidRDefault="00000000">
            <w:r>
              <w:rPr>
                <w:b/>
                <w:bCs/>
                <w:sz w:val="20"/>
                <w:szCs w:val="20"/>
              </w:rPr>
              <w:t>Vendég/lakos/év</w:t>
            </w:r>
          </w:p>
        </w:tc>
      </w:tr>
      <w:tr w:rsidR="0094289E" w14:paraId="29657747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0BA5E" w14:textId="77777777" w:rsidR="0094289E" w:rsidRDefault="00000000">
            <w:r>
              <w:rPr>
                <w:sz w:val="20"/>
                <w:szCs w:val="20"/>
              </w:rPr>
              <w:t>2021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A8596" w14:textId="77777777" w:rsidR="0094289E" w:rsidRDefault="00000000">
            <w:r>
              <w:rPr>
                <w:sz w:val="20"/>
                <w:szCs w:val="20"/>
              </w:rPr>
              <w:t>145 963 fő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39261" w14:textId="77777777" w:rsidR="0094289E" w:rsidRDefault="00000000">
            <w:r>
              <w:rPr>
                <w:sz w:val="20"/>
                <w:szCs w:val="20"/>
              </w:rPr>
              <w:t>~15 000 fő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34044" w14:textId="77777777" w:rsidR="0094289E" w:rsidRDefault="00000000">
            <w:r>
              <w:rPr>
                <w:sz w:val="20"/>
                <w:szCs w:val="20"/>
              </w:rPr>
              <w:t>9,7</w:t>
            </w:r>
          </w:p>
        </w:tc>
      </w:tr>
      <w:tr w:rsidR="0094289E" w14:paraId="5B95A1A8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DA680" w14:textId="77777777" w:rsidR="0094289E" w:rsidRDefault="00000000">
            <w:r>
              <w:rPr>
                <w:sz w:val="20"/>
                <w:szCs w:val="20"/>
              </w:rPr>
              <w:t>2022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94FD3" w14:textId="77777777" w:rsidR="0094289E" w:rsidRDefault="00000000">
            <w:r>
              <w:rPr>
                <w:sz w:val="20"/>
                <w:szCs w:val="20"/>
              </w:rPr>
              <w:t>244 886 fő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80487" w14:textId="77777777" w:rsidR="0094289E" w:rsidRDefault="00000000">
            <w:r>
              <w:rPr>
                <w:sz w:val="20"/>
                <w:szCs w:val="20"/>
              </w:rPr>
              <w:t>~15 000 fő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295B2" w14:textId="77777777" w:rsidR="0094289E" w:rsidRDefault="00000000">
            <w:r>
              <w:rPr>
                <w:sz w:val="20"/>
                <w:szCs w:val="20"/>
              </w:rPr>
              <w:t>16,3</w:t>
            </w:r>
          </w:p>
        </w:tc>
      </w:tr>
      <w:tr w:rsidR="0094289E" w14:paraId="197060B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79BA0" w14:textId="77777777" w:rsidR="0094289E" w:rsidRDefault="00000000">
            <w:r>
              <w:rPr>
                <w:sz w:val="20"/>
                <w:szCs w:val="20"/>
              </w:rPr>
              <w:t>2023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A0AB1" w14:textId="77777777" w:rsidR="0094289E" w:rsidRDefault="00000000">
            <w:r>
              <w:rPr>
                <w:sz w:val="20"/>
                <w:szCs w:val="20"/>
              </w:rPr>
              <w:t>214 523 fő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8D94E" w14:textId="77777777" w:rsidR="0094289E" w:rsidRDefault="00000000">
            <w:r>
              <w:rPr>
                <w:sz w:val="20"/>
                <w:szCs w:val="20"/>
              </w:rPr>
              <w:t>~15 000 fő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5573B" w14:textId="77777777" w:rsidR="0094289E" w:rsidRDefault="00000000">
            <w:r>
              <w:rPr>
                <w:sz w:val="20"/>
                <w:szCs w:val="20"/>
              </w:rPr>
              <w:t>14,3</w:t>
            </w:r>
          </w:p>
        </w:tc>
      </w:tr>
      <w:tr w:rsidR="0094289E" w14:paraId="34F7534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BA7CD" w14:textId="77777777" w:rsidR="0094289E" w:rsidRDefault="00000000">
            <w:r>
              <w:rPr>
                <w:sz w:val="20"/>
                <w:szCs w:val="20"/>
              </w:rPr>
              <w:t>2024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109FD" w14:textId="77777777" w:rsidR="0094289E" w:rsidRDefault="00000000">
            <w:r>
              <w:rPr>
                <w:sz w:val="20"/>
                <w:szCs w:val="20"/>
              </w:rPr>
              <w:t>229 210 fő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8F053" w14:textId="77777777" w:rsidR="0094289E" w:rsidRDefault="00000000">
            <w:r>
              <w:rPr>
                <w:sz w:val="20"/>
                <w:szCs w:val="20"/>
              </w:rPr>
              <w:t>~15 000 fő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86995" w14:textId="77777777" w:rsidR="0094289E" w:rsidRDefault="00000000">
            <w:r>
              <w:rPr>
                <w:sz w:val="20"/>
                <w:szCs w:val="20"/>
              </w:rPr>
              <w:t>15,3</w:t>
            </w:r>
          </w:p>
        </w:tc>
      </w:tr>
    </w:tbl>
    <w:p w14:paraId="0F424540" w14:textId="77777777" w:rsidR="0094289E" w:rsidRDefault="0094289E">
      <w:pPr>
        <w:spacing w:before="80" w:after="80"/>
      </w:pPr>
    </w:p>
    <w:p w14:paraId="7C677127" w14:textId="77777777" w:rsidR="0094289E" w:rsidRDefault="00000000">
      <w:pPr>
        <w:spacing w:before="80" w:after="80"/>
      </w:pPr>
      <w:r>
        <w:rPr>
          <w:b/>
          <w:bCs/>
        </w:rPr>
        <w:t xml:space="preserve">Értékelés: </w:t>
      </w:r>
      <w:r>
        <w:t>Az arány 2023–2024-ben 14–16 fő/lakos között stabilizálódott a 2022-es kivételes csúcs után. A 2024-es enyhe növekedés (+7% 2023-hoz képest) folyamatos figyelmet igényel, de a politika borostyán küszöbén belül marad. Piros szintű komfortküszöb-túllépést a vizsgált időszakban nem rögzítettünk.</w:t>
      </w:r>
    </w:p>
    <w:p w14:paraId="276CDB42" w14:textId="77777777" w:rsidR="0094289E" w:rsidRDefault="0094289E">
      <w:pPr>
        <w:spacing w:before="80" w:after="80"/>
      </w:pPr>
    </w:p>
    <w:p w14:paraId="162430A5" w14:textId="77777777" w:rsidR="0094289E" w:rsidRDefault="00000000">
      <w:pPr>
        <w:pStyle w:val="Cmsor2"/>
      </w:pPr>
      <w:r>
        <w:t>3.2 Szezonalitás</w:t>
      </w:r>
    </w:p>
    <w:p w14:paraId="056AF03A" w14:textId="77777777" w:rsidR="0094289E" w:rsidRDefault="00000000">
      <w:pPr>
        <w:spacing w:before="80" w:after="80"/>
      </w:pPr>
      <w:r>
        <w:t>A szezonon kívüli arány (november–márciusi vendégéjszakák az éves összesből) kiemelt KPI. A DMO szezonon kívüli marketingje – TB-finanszírozott gyógyászati kezelések, kombinált jegyek, szezonális árazás – célja ennek az aránynak a fokozatos növelése. Az adatok forrása a KSH STADAT, havi frissítéssel.</w:t>
      </w:r>
    </w:p>
    <w:p w14:paraId="728EA314" w14:textId="77777777" w:rsidR="0094289E" w:rsidRDefault="009428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1900"/>
        <w:gridCol w:w="1980"/>
        <w:gridCol w:w="1980"/>
      </w:tblGrid>
      <w:tr w:rsidR="0094289E" w14:paraId="0118FE8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33771" w14:textId="77777777" w:rsidR="0094289E" w:rsidRDefault="00000000">
            <w:r>
              <w:rPr>
                <w:b/>
                <w:bCs/>
                <w:sz w:val="20"/>
                <w:szCs w:val="20"/>
              </w:rPr>
              <w:t>KPI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2C996" w14:textId="77777777" w:rsidR="0094289E" w:rsidRDefault="00000000">
            <w:r>
              <w:rPr>
                <w:b/>
                <w:bCs/>
                <w:sz w:val="20"/>
                <w:szCs w:val="20"/>
              </w:rPr>
              <w:t>2023 alap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C49AB" w14:textId="77777777" w:rsidR="0094289E" w:rsidRDefault="00000000">
            <w:r>
              <w:rPr>
                <w:b/>
                <w:bCs/>
                <w:sz w:val="20"/>
                <w:szCs w:val="20"/>
              </w:rPr>
              <w:t>2024 eredmény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31E95" w14:textId="77777777" w:rsidR="0094289E" w:rsidRDefault="00000000">
            <w:r>
              <w:rPr>
                <w:b/>
                <w:bCs/>
                <w:sz w:val="20"/>
                <w:szCs w:val="20"/>
              </w:rPr>
              <w:t>Tendencia</w:t>
            </w:r>
          </w:p>
        </w:tc>
      </w:tr>
      <w:tr w:rsidR="0094289E" w14:paraId="041BBE79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9C7C2" w14:textId="77777777" w:rsidR="0094289E" w:rsidRDefault="00000000">
            <w:r>
              <w:rPr>
                <w:sz w:val="20"/>
                <w:szCs w:val="20"/>
              </w:rPr>
              <w:t>Szezonon kívüli arány (nov–márc)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11CDC" w14:textId="77777777" w:rsidR="0094289E" w:rsidRDefault="00000000">
            <w:r>
              <w:rPr>
                <w:sz w:val="20"/>
                <w:szCs w:val="20"/>
              </w:rPr>
              <w:t>KSH alapján mérve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DD0447" w14:textId="77777777" w:rsidR="0094289E" w:rsidRDefault="00000000">
            <w:r>
              <w:rPr>
                <w:sz w:val="20"/>
                <w:szCs w:val="20"/>
              </w:rPr>
              <w:t>KSH alapján mérve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A0843" w14:textId="77777777" w:rsidR="0094289E" w:rsidRDefault="00000000">
            <w:r>
              <w:rPr>
                <w:sz w:val="20"/>
                <w:szCs w:val="20"/>
              </w:rPr>
              <w:t>Cél: éves növekedés</w:t>
            </w:r>
          </w:p>
        </w:tc>
      </w:tr>
      <w:tr w:rsidR="0094289E" w14:paraId="4936CF9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6CA0D" w14:textId="77777777" w:rsidR="0094289E" w:rsidRDefault="00000000">
            <w:r>
              <w:rPr>
                <w:sz w:val="20"/>
                <w:szCs w:val="20"/>
              </w:rPr>
              <w:t>Csomagjegy-konverzió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220FF" w14:textId="77777777" w:rsidR="0094289E" w:rsidRDefault="00000000">
            <w:r>
              <w:rPr>
                <w:sz w:val="20"/>
                <w:szCs w:val="20"/>
              </w:rPr>
              <w:t>2024-ben alapérték megállapítva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8D365" w14:textId="77777777" w:rsidR="0094289E" w:rsidRDefault="00000000">
            <w:r>
              <w:rPr>
                <w:sz w:val="20"/>
                <w:szCs w:val="20"/>
              </w:rPr>
              <w:t>Folyamatos mérés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28DCD" w14:textId="77777777" w:rsidR="0094289E" w:rsidRDefault="00000000">
            <w:r>
              <w:rPr>
                <w:sz w:val="20"/>
                <w:szCs w:val="20"/>
              </w:rPr>
              <w:t>Cél: +10% évente</w:t>
            </w:r>
          </w:p>
        </w:tc>
      </w:tr>
      <w:tr w:rsidR="0094289E" w14:paraId="0189D3BD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6665D" w14:textId="77777777" w:rsidR="0094289E" w:rsidRDefault="00000000">
            <w:r>
              <w:rPr>
                <w:sz w:val="20"/>
                <w:szCs w:val="20"/>
              </w:rPr>
              <w:t>Csúcsidős küszöbtúllépések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1D275" w14:textId="77777777" w:rsidR="0094289E" w:rsidRDefault="00000000">
            <w:r>
              <w:rPr>
                <w:sz w:val="20"/>
                <w:szCs w:val="20"/>
              </w:rPr>
              <w:t>Helyszíni naplózás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38FB9" w14:textId="77777777" w:rsidR="0094289E" w:rsidRDefault="00000000">
            <w:r>
              <w:rPr>
                <w:sz w:val="20"/>
                <w:szCs w:val="20"/>
              </w:rPr>
              <w:t>0 piros riasztás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AD6F0A" w14:textId="77777777" w:rsidR="0094289E" w:rsidRDefault="00000000">
            <w:r>
              <w:rPr>
                <w:sz w:val="20"/>
                <w:szCs w:val="20"/>
              </w:rPr>
              <w:t>Cél teljesítve</w:t>
            </w:r>
          </w:p>
        </w:tc>
      </w:tr>
      <w:tr w:rsidR="0094289E" w14:paraId="2EE055B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CABF0" w14:textId="77777777" w:rsidR="0094289E" w:rsidRDefault="00000000">
            <w:r>
              <w:rPr>
                <w:sz w:val="20"/>
                <w:szCs w:val="20"/>
              </w:rPr>
              <w:t>Vendégelégedettség (&gt;=4/5)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CEB74" w14:textId="77777777" w:rsidR="0094289E" w:rsidRDefault="00000000">
            <w:r>
              <w:rPr>
                <w:sz w:val="20"/>
                <w:szCs w:val="20"/>
              </w:rPr>
              <w:t>2023-as felmérés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1C19A" w14:textId="77777777" w:rsidR="0094289E" w:rsidRDefault="00000000">
            <w:r>
              <w:rPr>
                <w:sz w:val="20"/>
                <w:szCs w:val="20"/>
              </w:rPr>
              <w:t>2025-ös felmérés folyamatban</w:t>
            </w:r>
          </w:p>
        </w:tc>
        <w:tc>
          <w:tcPr>
            <w:tcW w:w="19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D2E26" w14:textId="77777777" w:rsidR="0094289E" w:rsidRDefault="00000000">
            <w:r>
              <w:rPr>
                <w:sz w:val="20"/>
                <w:szCs w:val="20"/>
              </w:rPr>
              <w:t>Cél: fenntartani</w:t>
            </w:r>
          </w:p>
        </w:tc>
      </w:tr>
    </w:tbl>
    <w:p w14:paraId="6F458607" w14:textId="77777777" w:rsidR="0094289E" w:rsidRDefault="0094289E">
      <w:pPr>
        <w:spacing w:before="80" w:after="80"/>
      </w:pPr>
    </w:p>
    <w:p w14:paraId="5933A2FE" w14:textId="77777777" w:rsidR="0094289E" w:rsidRDefault="0094289E">
      <w:pPr>
        <w:pBdr>
          <w:bottom w:val="single" w:sz="4" w:space="1" w:color="2E75B6"/>
        </w:pBdr>
        <w:spacing w:before="160" w:after="160"/>
      </w:pPr>
    </w:p>
    <w:p w14:paraId="2D00CC0E" w14:textId="77777777" w:rsidR="0094289E" w:rsidRDefault="00000000">
      <w:pPr>
        <w:pStyle w:val="Cmsor1"/>
      </w:pPr>
      <w:r>
        <w:t xml:space="preserve">4. Társadalmi hatások </w:t>
      </w:r>
      <w:proofErr w:type="spellStart"/>
      <w:r>
        <w:t>monitoringja</w:t>
      </w:r>
      <w:proofErr w:type="spellEnd"/>
    </w:p>
    <w:p w14:paraId="12A11080" w14:textId="77777777" w:rsidR="0094289E" w:rsidRDefault="00000000">
      <w:pPr>
        <w:pStyle w:val="Cmsor2"/>
      </w:pPr>
      <w:r>
        <w:t>4.1 Éves lakói elégedettségi felmérés</w:t>
      </w:r>
    </w:p>
    <w:p w14:paraId="4802C90E" w14:textId="77777777" w:rsidR="0094289E" w:rsidRDefault="00000000">
      <w:pPr>
        <w:spacing w:before="80" w:after="80"/>
      </w:pPr>
      <w:r>
        <w:t>Az éves lakói elégedettségi felmérés a turizmussal összefüggő zsúfoltságot, zajt, parkolási helyzetet és az érzékelt hasznokat méri. A DMO és az önkormányzat közösen végzi online és nyomtatott kérdőívekkel, személyes interjúkkal és közösségi kerekasztalokkal. Az eredményeket utcák/negyedek szintjén térképezik, hogy azonosítsák a súrlódási pontokat.</w:t>
      </w:r>
    </w:p>
    <w:p w14:paraId="2DE7EDA9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2020-as felmérés: </w:t>
      </w:r>
      <w:r>
        <w:t>A teljes eredmény és az akcióterv nyilvánosan elérhető a sarvarvaros.hu oldalon (csatolva). A főbb megállapítások parkfelújításokhoz, sportinfrastruktúra-fejlesztéshez, közlekedésbiztonsági programokhoz és erősebb közösségi bevonáshoz vezettek.</w:t>
      </w:r>
    </w:p>
    <w:p w14:paraId="3595427D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rPr>
          <w:b/>
          <w:bCs/>
        </w:rPr>
        <w:lastRenderedPageBreak/>
        <w:t xml:space="preserve">2025-ös felmérés: </w:t>
      </w:r>
      <w:r>
        <w:t>Online kérdőívvel, turisztikai szempontú kérdésekkel (múzeumok, kulturális programok, rendezvények, desztinációélmény). Az eredmények kiértékelés alatt állnak; a sarvarvaros.hu-n kerülnek közzétételre.</w:t>
      </w:r>
    </w:p>
    <w:p w14:paraId="3A2483F0" w14:textId="77777777" w:rsidR="0094289E" w:rsidRDefault="0094289E">
      <w:pPr>
        <w:spacing w:before="80" w:after="80"/>
      </w:pPr>
    </w:p>
    <w:p w14:paraId="25E64F74" w14:textId="77777777" w:rsidR="0094289E" w:rsidRDefault="00000000">
      <w:pPr>
        <w:pStyle w:val="Cmsor2"/>
      </w:pPr>
      <w:r>
        <w:t>4.2 Panasz- és jelzésmonitoring</w:t>
      </w:r>
    </w:p>
    <w:p w14:paraId="0F82D0A3" w14:textId="77777777" w:rsidR="0094289E" w:rsidRDefault="00000000">
      <w:pPr>
        <w:spacing w:before="80" w:after="80"/>
      </w:pPr>
      <w:r>
        <w:t>Folyamatos közösségi jelzésmonitorozás egészíti ki az éves felmérést:</w:t>
      </w:r>
    </w:p>
    <w:p w14:paraId="288AB93C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t>Önkormányzati 'Észrevétel bejelentése' portál – minden beadványt nyomon követnek és az illetékes szervhez irányítanak</w:t>
      </w:r>
    </w:p>
    <w:p w14:paraId="6CF0F93A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t>Rendőrségi/zajterhelési naplók – negyedévente térképre vetítve, a DMO negyedévente áttekinti</w:t>
      </w:r>
    </w:p>
    <w:p w14:paraId="73961C61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t xml:space="preserve">Közterületi hulladékjelentések – </w:t>
      </w:r>
      <w:proofErr w:type="spellStart"/>
      <w:r>
        <w:t>térinformatikailag</w:t>
      </w:r>
      <w:proofErr w:type="spellEnd"/>
      <w:r>
        <w:t xml:space="preserve"> elemezve a turisztikai súrlódási pontok azonosítására</w:t>
      </w:r>
    </w:p>
    <w:p w14:paraId="60CBAE3F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t xml:space="preserve">Online értékelések hangulatelemzése (Google </w:t>
      </w:r>
      <w:proofErr w:type="spellStart"/>
      <w:r>
        <w:t>Maps</w:t>
      </w:r>
      <w:proofErr w:type="spellEnd"/>
      <w:r>
        <w:t xml:space="preserve">, </w:t>
      </w:r>
      <w:proofErr w:type="spellStart"/>
      <w:r>
        <w:t>Tripadvisor</w:t>
      </w:r>
      <w:proofErr w:type="spellEnd"/>
      <w:r>
        <w:t>, Booking.com) – zsúfoltsággal kapcsolatos elégedetlenség kimutatására</w:t>
      </w:r>
    </w:p>
    <w:p w14:paraId="00E88E38" w14:textId="77777777" w:rsidR="0094289E" w:rsidRDefault="0094289E">
      <w:pPr>
        <w:spacing w:before="80" w:after="80"/>
      </w:pPr>
    </w:p>
    <w:p w14:paraId="74A499F6" w14:textId="77777777" w:rsidR="0094289E" w:rsidRDefault="00000000">
      <w:pPr>
        <w:spacing w:before="80" w:after="80"/>
      </w:pPr>
      <w:r>
        <w:rPr>
          <w:b/>
          <w:bCs/>
        </w:rPr>
        <w:t xml:space="preserve">Megállapítás a vizsgált időszakban: </w:t>
      </w:r>
      <w:r>
        <w:t>2024–2025-ben nem rögzítettünk számottevő növekedést a turizmussal összefüggő panaszokban. A visszatérő témák: parkolási nyomás a Gyógyfürdő közelében nyári csúcsidőszakban, valamint késő esti rendezvények zajterhelése – mindkettőt a meglévő politikai intézkedések kezelik (parkolásmenedzsment, rendezvények csendes óra előírása).</w:t>
      </w:r>
    </w:p>
    <w:p w14:paraId="69B3653B" w14:textId="77777777" w:rsidR="0094289E" w:rsidRDefault="0094289E">
      <w:pPr>
        <w:spacing w:before="80" w:after="80"/>
      </w:pPr>
    </w:p>
    <w:p w14:paraId="223F7F32" w14:textId="77777777" w:rsidR="0094289E" w:rsidRDefault="00000000">
      <w:pPr>
        <w:pStyle w:val="Cmsor2"/>
      </w:pPr>
      <w:r>
        <w:t>4.3 Munkaerőpiac és közösségi jólét</w:t>
      </w:r>
    </w:p>
    <w:p w14:paraId="78FF772E" w14:textId="77777777" w:rsidR="0094289E" w:rsidRDefault="00000000">
      <w:pPr>
        <w:spacing w:before="80" w:after="80"/>
      </w:pPr>
      <w:r>
        <w:t>A Sárvári Járási Hivatal évente munkaerő-piaci tájékoztatót nyújt be a Képviselő-testületnek. A legutóbb közzétett álláskeresési ráta Sárvár városában 2,03% volt (2023. október), ami a régió egyik legalacsonyabb értéke – megerősítve, hogy a turisztikai fejlődés támogatja, nem kiszorítja a helyi foglalkoztatást.</w:t>
      </w:r>
    </w:p>
    <w:p w14:paraId="7B8C0DA1" w14:textId="77777777" w:rsidR="0094289E" w:rsidRDefault="0094289E">
      <w:pPr>
        <w:spacing w:before="80" w:after="80"/>
      </w:pPr>
    </w:p>
    <w:p w14:paraId="46F3C54F" w14:textId="77777777" w:rsidR="0094289E" w:rsidRDefault="0094289E">
      <w:pPr>
        <w:pBdr>
          <w:bottom w:val="single" w:sz="4" w:space="1" w:color="2E75B6"/>
        </w:pBdr>
        <w:spacing w:before="160" w:after="160"/>
      </w:pPr>
    </w:p>
    <w:p w14:paraId="10E5503A" w14:textId="77777777" w:rsidR="0094289E" w:rsidRDefault="00000000">
      <w:pPr>
        <w:pStyle w:val="Cmsor1"/>
      </w:pPr>
      <w:r>
        <w:t>5. Marketing és célzás – intézkedések</w:t>
      </w:r>
    </w:p>
    <w:p w14:paraId="48438375" w14:textId="77777777" w:rsidR="0094289E" w:rsidRDefault="00000000">
      <w:pPr>
        <w:spacing w:before="80" w:after="80"/>
      </w:pPr>
      <w:r>
        <w:t>A monitoring eredményei közvetlenül beépülnek a marketing döntésekbe, bezárva a kört az adatgyűjtés és a cselekvés között:</w:t>
      </w:r>
    </w:p>
    <w:p w14:paraId="6116F6CB" w14:textId="77777777" w:rsidR="0094289E" w:rsidRDefault="009428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94289E" w14:paraId="61D2336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6BB0A" w14:textId="77777777" w:rsidR="0094289E" w:rsidRDefault="00000000">
            <w:r>
              <w:rPr>
                <w:b/>
                <w:bCs/>
                <w:sz w:val="20"/>
                <w:szCs w:val="20"/>
              </w:rPr>
              <w:t>Intézkedés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23AB0" w14:textId="77777777" w:rsidR="0094289E" w:rsidRDefault="00000000">
            <w:r>
              <w:rPr>
                <w:b/>
                <w:bCs/>
                <w:sz w:val="20"/>
                <w:szCs w:val="20"/>
              </w:rPr>
              <w:t>Státusz / Eredmény</w:t>
            </w:r>
          </w:p>
        </w:tc>
      </w:tr>
      <w:tr w:rsidR="0094289E" w14:paraId="239F5C9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BACFF" w14:textId="77777777" w:rsidR="0094289E" w:rsidRDefault="00000000">
            <w:r>
              <w:rPr>
                <w:sz w:val="20"/>
                <w:szCs w:val="20"/>
              </w:rPr>
              <w:t>Szezonon kívüli TB-finanszírozott gyógyászati kezelések promóciója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888A7" w14:textId="77777777" w:rsidR="0094289E" w:rsidRDefault="00000000">
            <w:r>
              <w:rPr>
                <w:sz w:val="20"/>
                <w:szCs w:val="20"/>
              </w:rPr>
              <w:t>Aktív – őszi/téli egészségturisztikai csomagok folyamatos kommunikációja</w:t>
            </w:r>
          </w:p>
        </w:tc>
      </w:tr>
      <w:tr w:rsidR="0094289E" w14:paraId="47F92C7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FD23D" w14:textId="77777777" w:rsidR="0094289E" w:rsidRDefault="00000000">
            <w:r>
              <w:rPr>
                <w:sz w:val="20"/>
                <w:szCs w:val="20"/>
              </w:rPr>
              <w:t>Kombinált jegyek (fürdő + vár + kisvasút)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14FA3" w14:textId="77777777" w:rsidR="0094289E" w:rsidRDefault="00000000">
            <w:r>
              <w:rPr>
                <w:sz w:val="20"/>
                <w:szCs w:val="20"/>
              </w:rPr>
              <w:t>Aktív – jegyrendszeren keresztül konverzió mérve; 2024-ben alapérték megállapítva</w:t>
            </w:r>
          </w:p>
        </w:tc>
      </w:tr>
      <w:tr w:rsidR="0094289E" w14:paraId="2E8DE65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C45B9" w14:textId="77777777" w:rsidR="0094289E" w:rsidRDefault="00000000">
            <w:r>
              <w:rPr>
                <w:sz w:val="20"/>
                <w:szCs w:val="20"/>
              </w:rPr>
              <w:t>Szezonális és dinamikus árazás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B9848" w14:textId="77777777" w:rsidR="0094289E" w:rsidRDefault="00000000">
            <w:r>
              <w:rPr>
                <w:sz w:val="20"/>
                <w:szCs w:val="20"/>
              </w:rPr>
              <w:t>Aktív – a fürdő hétvége/hétköznap és fő/mellékszezoni differenciált árazást alkalmaz</w:t>
            </w:r>
          </w:p>
        </w:tc>
      </w:tr>
      <w:tr w:rsidR="0094289E" w14:paraId="2121FB9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A4577" w14:textId="77777777" w:rsidR="0094289E" w:rsidRDefault="00000000">
            <w:r>
              <w:rPr>
                <w:sz w:val="20"/>
                <w:szCs w:val="20"/>
              </w:rPr>
              <w:t>Fürdőn belüli LED-fal (élő zsúfoltsági infó + Sárvár ajánlat)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7A000" w14:textId="77777777" w:rsidR="0094289E" w:rsidRDefault="00000000">
            <w:r>
              <w:rPr>
                <w:sz w:val="20"/>
                <w:szCs w:val="20"/>
              </w:rPr>
              <w:t>Telepítve és üzemelő</w:t>
            </w:r>
          </w:p>
        </w:tc>
      </w:tr>
      <w:tr w:rsidR="0094289E" w14:paraId="5317497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C9BCE" w14:textId="77777777" w:rsidR="0094289E" w:rsidRDefault="00000000">
            <w:r>
              <w:rPr>
                <w:sz w:val="20"/>
                <w:szCs w:val="20"/>
              </w:rPr>
              <w:lastRenderedPageBreak/>
              <w:t>Időeltolási kampányok (másodlagos helyszínek)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1F52A" w14:textId="77777777" w:rsidR="0094289E" w:rsidRDefault="00000000">
            <w:r>
              <w:rPr>
                <w:sz w:val="20"/>
                <w:szCs w:val="20"/>
              </w:rPr>
              <w:t>Folyamatos – Arborétum, Nádasdy, Rába-part promóciója csúcsidőn kívül</w:t>
            </w:r>
          </w:p>
        </w:tc>
      </w:tr>
      <w:tr w:rsidR="0094289E" w14:paraId="20F9CBB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A21CA" w14:textId="77777777" w:rsidR="0094289E" w:rsidRDefault="00000000">
            <w:proofErr w:type="spellStart"/>
            <w:r>
              <w:rPr>
                <w:sz w:val="20"/>
                <w:szCs w:val="20"/>
              </w:rPr>
              <w:t>GoGreen</w:t>
            </w:r>
            <w:proofErr w:type="spellEnd"/>
            <w:r>
              <w:rPr>
                <w:sz w:val="20"/>
                <w:szCs w:val="20"/>
              </w:rPr>
              <w:t xml:space="preserve"> puha mobilitási ösztönzők (app)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F07C4" w14:textId="77777777" w:rsidR="0094289E" w:rsidRDefault="00000000">
            <w:r>
              <w:rPr>
                <w:sz w:val="20"/>
                <w:szCs w:val="20"/>
              </w:rPr>
              <w:t>Pilot: 2025 tél; teljes bevezetés 2026</w:t>
            </w:r>
          </w:p>
        </w:tc>
      </w:tr>
    </w:tbl>
    <w:p w14:paraId="2A07DE7A" w14:textId="77777777" w:rsidR="0094289E" w:rsidRDefault="0094289E">
      <w:pPr>
        <w:spacing w:before="80" w:after="80"/>
      </w:pPr>
    </w:p>
    <w:p w14:paraId="0AEEC95D" w14:textId="77777777" w:rsidR="0094289E" w:rsidRDefault="0094289E">
      <w:pPr>
        <w:pBdr>
          <w:bottom w:val="single" w:sz="4" w:space="1" w:color="2E75B6"/>
        </w:pBdr>
        <w:spacing w:before="160" w:after="160"/>
      </w:pPr>
    </w:p>
    <w:p w14:paraId="05AF9C80" w14:textId="77777777" w:rsidR="0094289E" w:rsidRDefault="00000000">
      <w:pPr>
        <w:pStyle w:val="Cmsor1"/>
      </w:pPr>
      <w:r>
        <w:t>6. Látogatómenedzsment – helyszíni intézkedések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94289E" w14:paraId="7B7BAD1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39851" w14:textId="77777777" w:rsidR="0094289E" w:rsidRDefault="00000000">
            <w:r>
              <w:rPr>
                <w:b/>
                <w:bCs/>
                <w:sz w:val="20"/>
                <w:szCs w:val="20"/>
              </w:rPr>
              <w:t>Helyszín / Probléma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72FA5" w14:textId="77777777" w:rsidR="0094289E" w:rsidRDefault="00000000">
            <w:r>
              <w:rPr>
                <w:b/>
                <w:bCs/>
                <w:sz w:val="20"/>
                <w:szCs w:val="20"/>
              </w:rPr>
              <w:t>Alkalmazott intézkedés</w:t>
            </w:r>
          </w:p>
        </w:tc>
      </w:tr>
      <w:tr w:rsidR="0094289E" w14:paraId="45C60E8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B8D77" w14:textId="77777777" w:rsidR="0094289E" w:rsidRDefault="00000000">
            <w:r>
              <w:rPr>
                <w:sz w:val="20"/>
                <w:szCs w:val="20"/>
              </w:rPr>
              <w:t>Gyógyfürdő – csúcsidős zsúfoltság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EE6B9" w14:textId="77777777" w:rsidR="0094289E" w:rsidRDefault="00000000">
            <w:r>
              <w:rPr>
                <w:sz w:val="20"/>
                <w:szCs w:val="20"/>
              </w:rPr>
              <w:t>Komfortküszöb meghatározva; LED-fal; dinamikus árazás; csomagpromóció</w:t>
            </w:r>
          </w:p>
        </w:tc>
      </w:tr>
      <w:tr w:rsidR="0094289E" w14:paraId="1B1FDEC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89AF9" w14:textId="77777777" w:rsidR="0094289E" w:rsidRDefault="00000000">
            <w:r>
              <w:rPr>
                <w:sz w:val="20"/>
                <w:szCs w:val="20"/>
              </w:rPr>
              <w:t>Nádasdy Vár – csoportmenedzsment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E304D" w14:textId="77777777" w:rsidR="0094289E" w:rsidRDefault="00000000">
            <w:r>
              <w:rPr>
                <w:sz w:val="20"/>
                <w:szCs w:val="20"/>
              </w:rPr>
              <w:t>Időzített csoportos belépés; puha létszámkorlát; egyirányú útvonal; esős napi terv</w:t>
            </w:r>
          </w:p>
        </w:tc>
      </w:tr>
      <w:tr w:rsidR="0094289E" w14:paraId="713C9C4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1515B" w14:textId="77777777" w:rsidR="0094289E" w:rsidRDefault="00000000">
            <w:r>
              <w:rPr>
                <w:sz w:val="20"/>
                <w:szCs w:val="20"/>
              </w:rPr>
              <w:t>Arborétum – természetvédelmi érzékenység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ACF3A" w14:textId="77777777" w:rsidR="0094289E" w:rsidRDefault="00000000">
            <w:r>
              <w:rPr>
                <w:sz w:val="20"/>
                <w:szCs w:val="20"/>
              </w:rPr>
              <w:t xml:space="preserve">Ápr–jún. fészkelési protokoll; egyirányú hurkok; hétvégi </w:t>
            </w:r>
            <w:proofErr w:type="spellStart"/>
            <w:r>
              <w:rPr>
                <w:sz w:val="20"/>
                <w:szCs w:val="20"/>
              </w:rPr>
              <w:t>rangerjárőrök</w:t>
            </w:r>
            <w:proofErr w:type="spellEnd"/>
            <w:r>
              <w:rPr>
                <w:sz w:val="20"/>
                <w:szCs w:val="20"/>
              </w:rPr>
              <w:t>; fotópadok</w:t>
            </w:r>
          </w:p>
        </w:tc>
      </w:tr>
      <w:tr w:rsidR="0094289E" w14:paraId="2AF02DF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3BF62" w14:textId="77777777" w:rsidR="0094289E" w:rsidRDefault="00000000">
            <w:r>
              <w:rPr>
                <w:sz w:val="20"/>
                <w:szCs w:val="20"/>
              </w:rPr>
              <w:t>Rendezvények – zaj és forgalomterhelés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1F4FB" w14:textId="77777777" w:rsidR="0094289E" w:rsidRDefault="00000000">
            <w:r>
              <w:rPr>
                <w:sz w:val="20"/>
                <w:szCs w:val="20"/>
              </w:rPr>
              <w:t>72 órás SLA panaszok; eseménykorlátok; csendes óra; mobilitási és hulladékterv</w:t>
            </w:r>
          </w:p>
        </w:tc>
      </w:tr>
      <w:tr w:rsidR="0094289E" w14:paraId="1257B60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0C621" w14:textId="77777777" w:rsidR="0094289E" w:rsidRDefault="00000000">
            <w:r>
              <w:rPr>
                <w:sz w:val="20"/>
                <w:szCs w:val="20"/>
              </w:rPr>
              <w:t>Puha mobilitás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DD8ED" w14:textId="77777777" w:rsidR="0094289E" w:rsidRDefault="00000000">
            <w:r>
              <w:rPr>
                <w:sz w:val="20"/>
                <w:szCs w:val="20"/>
              </w:rPr>
              <w:t xml:space="preserve">Elektromos kisvasút </w:t>
            </w:r>
            <w:proofErr w:type="spellStart"/>
            <w:r>
              <w:rPr>
                <w:sz w:val="20"/>
                <w:szCs w:val="20"/>
              </w:rPr>
              <w:t>nyitvatartáshoz</w:t>
            </w:r>
            <w:proofErr w:type="spellEnd"/>
            <w:r>
              <w:rPr>
                <w:sz w:val="20"/>
                <w:szCs w:val="20"/>
              </w:rPr>
              <w:t xml:space="preserve"> igazítva; P&amp;R üzenetek; kerékpáros elsőbbség</w:t>
            </w:r>
          </w:p>
        </w:tc>
      </w:tr>
      <w:tr w:rsidR="0094289E" w14:paraId="68DA72E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EA0F4" w14:textId="77777777" w:rsidR="0094289E" w:rsidRDefault="00000000">
            <w:r>
              <w:rPr>
                <w:sz w:val="20"/>
                <w:szCs w:val="20"/>
              </w:rPr>
              <w:t>Buszos turizmus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180E3" w14:textId="77777777" w:rsidR="0094289E" w:rsidRDefault="00000000">
            <w:r>
              <w:rPr>
                <w:sz w:val="20"/>
                <w:szCs w:val="20"/>
              </w:rPr>
              <w:t>Időzített ablakok; parkolás a belváros határán</w:t>
            </w:r>
          </w:p>
        </w:tc>
      </w:tr>
    </w:tbl>
    <w:p w14:paraId="1F772472" w14:textId="77777777" w:rsidR="0094289E" w:rsidRDefault="0094289E">
      <w:pPr>
        <w:spacing w:before="80" w:after="80"/>
      </w:pPr>
    </w:p>
    <w:p w14:paraId="38BDEE0D" w14:textId="77777777" w:rsidR="0094289E" w:rsidRDefault="0094289E">
      <w:pPr>
        <w:pBdr>
          <w:bottom w:val="single" w:sz="4" w:space="1" w:color="2E75B6"/>
        </w:pBdr>
        <w:spacing w:before="160" w:after="160"/>
      </w:pPr>
    </w:p>
    <w:p w14:paraId="69622AE2" w14:textId="77777777" w:rsidR="0094289E" w:rsidRDefault="00000000">
      <w:pPr>
        <w:pStyle w:val="Cmsor1"/>
      </w:pPr>
      <w:r>
        <w:t>7. Nyilvánosan elérhető adatok</w:t>
      </w:r>
    </w:p>
    <w:p w14:paraId="761408D9" w14:textId="77777777" w:rsidR="0094289E" w:rsidRDefault="00000000">
      <w:pPr>
        <w:spacing w:before="80" w:after="80"/>
      </w:pPr>
      <w:r>
        <w:t>A monitoring minden alap adata nyilvánosan elérhető az alábbi csatornákon:</w:t>
      </w:r>
    </w:p>
    <w:p w14:paraId="79A46A7C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KSH STADAT (havi, településszintű): </w:t>
      </w:r>
      <w:r>
        <w:t>https://www.ksh.hu/stadat</w:t>
      </w:r>
    </w:p>
    <w:p w14:paraId="3396086A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I-DEST desztináció fenntarthatósági műszerfal (éves): </w:t>
      </w:r>
      <w:r>
        <w:t>https://idest.com/desztinacio/sarvar</w:t>
      </w:r>
    </w:p>
    <w:p w14:paraId="1DCD9D9B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Önkormányzati weboldal – lakói felmérések és akciótervek: </w:t>
      </w:r>
      <w:r>
        <w:t>https://sarvarvaros.hu</w:t>
      </w:r>
    </w:p>
    <w:p w14:paraId="742407A4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Sárvár turisztikai portál – </w:t>
      </w:r>
      <w:proofErr w:type="spellStart"/>
      <w:r>
        <w:rPr>
          <w:b/>
          <w:bCs/>
        </w:rPr>
        <w:t>GoGreen</w:t>
      </w:r>
      <w:proofErr w:type="spellEnd"/>
      <w:r>
        <w:rPr>
          <w:b/>
          <w:bCs/>
        </w:rPr>
        <w:t xml:space="preserve"> monitoring és fenntarthatósági tartalmak: </w:t>
      </w:r>
      <w:r>
        <w:t>https://sarvar.hu</w:t>
      </w:r>
    </w:p>
    <w:p w14:paraId="25461198" w14:textId="77777777" w:rsidR="0094289E" w:rsidRDefault="0094289E">
      <w:pPr>
        <w:spacing w:before="80" w:after="80"/>
      </w:pPr>
    </w:p>
    <w:p w14:paraId="0C1DC72B" w14:textId="77777777" w:rsidR="0094289E" w:rsidRDefault="0094289E">
      <w:pPr>
        <w:pBdr>
          <w:bottom w:val="single" w:sz="4" w:space="1" w:color="2E75B6"/>
        </w:pBdr>
        <w:spacing w:before="160" w:after="160"/>
      </w:pPr>
    </w:p>
    <w:p w14:paraId="6D6E7304" w14:textId="77777777" w:rsidR="0094289E" w:rsidRDefault="00000000">
      <w:pPr>
        <w:pStyle w:val="Cmsor1"/>
      </w:pPr>
      <w:r>
        <w:t>8. Következő lépések és vállalások</w:t>
      </w:r>
    </w:p>
    <w:p w14:paraId="413F5BB6" w14:textId="59B2A9A0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t>A 2025-ös lakói elégedettségi felmérés eredményeinek közzététele a sarvarvaros.hu-n az értékelés befejezését követően (</w:t>
      </w:r>
      <w:r w:rsidR="00316A90">
        <w:t xml:space="preserve">várhatóan </w:t>
      </w:r>
      <w:r>
        <w:t>2026 III. negyedév)</w:t>
      </w:r>
    </w:p>
    <w:p w14:paraId="36AE2750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t xml:space="preserve">A </w:t>
      </w:r>
      <w:proofErr w:type="spellStart"/>
      <w:r>
        <w:t>GoGreen</w:t>
      </w:r>
      <w:proofErr w:type="spellEnd"/>
      <w:r>
        <w:t xml:space="preserve"> app teljes bevezetése 2026-ban, </w:t>
      </w:r>
      <w:proofErr w:type="spellStart"/>
      <w:r>
        <w:t>anonimizált</w:t>
      </w:r>
      <w:proofErr w:type="spellEnd"/>
      <w:r>
        <w:t xml:space="preserve"> mobilitási adatok gyűjtésével</w:t>
      </w:r>
    </w:p>
    <w:p w14:paraId="52270BDE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t>Éves KPI-felülvizsgálat a DMO közgyűlésén (következő: 2026 ősz); eredmények közzététele a sarvar.hu-n</w:t>
      </w:r>
    </w:p>
    <w:p w14:paraId="3EFF1B64" w14:textId="77777777" w:rsidR="0094289E" w:rsidRDefault="00000000">
      <w:pPr>
        <w:pStyle w:val="Listaszerbekezds"/>
        <w:numPr>
          <w:ilvl w:val="0"/>
          <w:numId w:val="2"/>
        </w:numPr>
        <w:spacing w:before="60" w:after="60"/>
      </w:pPr>
      <w:r>
        <w:lastRenderedPageBreak/>
        <w:t>Negyedéves műszerfalfelülvizsgálatok folytatása és a forgalomjelzős státusz frissítése helyszínenként</w:t>
      </w:r>
    </w:p>
    <w:p w14:paraId="2DE0B15E" w14:textId="36224D7F" w:rsidR="0094289E" w:rsidRDefault="0094289E">
      <w:pPr>
        <w:pBdr>
          <w:top w:val="single" w:sz="6" w:space="1" w:color="1F4E79"/>
        </w:pBdr>
        <w:spacing w:before="240" w:after="80"/>
      </w:pPr>
    </w:p>
    <w:sectPr w:rsidR="00942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30963"/>
    <w:multiLevelType w:val="hybridMultilevel"/>
    <w:tmpl w:val="D9645BF6"/>
    <w:lvl w:ilvl="0" w:tplc="83C471BC">
      <w:start w:val="1"/>
      <w:numFmt w:val="bullet"/>
      <w:lvlText w:val="●"/>
      <w:lvlJc w:val="left"/>
      <w:pPr>
        <w:ind w:left="720" w:hanging="360"/>
      </w:pPr>
    </w:lvl>
    <w:lvl w:ilvl="1" w:tplc="A956DF50">
      <w:start w:val="1"/>
      <w:numFmt w:val="bullet"/>
      <w:lvlText w:val="○"/>
      <w:lvlJc w:val="left"/>
      <w:pPr>
        <w:ind w:left="1440" w:hanging="360"/>
      </w:pPr>
    </w:lvl>
    <w:lvl w:ilvl="2" w:tplc="A56A3DE0">
      <w:start w:val="1"/>
      <w:numFmt w:val="bullet"/>
      <w:lvlText w:val="■"/>
      <w:lvlJc w:val="left"/>
      <w:pPr>
        <w:ind w:left="2160" w:hanging="360"/>
      </w:pPr>
    </w:lvl>
    <w:lvl w:ilvl="3" w:tplc="3E444930">
      <w:start w:val="1"/>
      <w:numFmt w:val="bullet"/>
      <w:lvlText w:val="●"/>
      <w:lvlJc w:val="left"/>
      <w:pPr>
        <w:ind w:left="2880" w:hanging="360"/>
      </w:pPr>
    </w:lvl>
    <w:lvl w:ilvl="4" w:tplc="2044315A">
      <w:start w:val="1"/>
      <w:numFmt w:val="bullet"/>
      <w:lvlText w:val="○"/>
      <w:lvlJc w:val="left"/>
      <w:pPr>
        <w:ind w:left="3600" w:hanging="360"/>
      </w:pPr>
    </w:lvl>
    <w:lvl w:ilvl="5" w:tplc="A386BE46">
      <w:start w:val="1"/>
      <w:numFmt w:val="bullet"/>
      <w:lvlText w:val="■"/>
      <w:lvlJc w:val="left"/>
      <w:pPr>
        <w:ind w:left="4320" w:hanging="360"/>
      </w:pPr>
    </w:lvl>
    <w:lvl w:ilvl="6" w:tplc="382436EA">
      <w:start w:val="1"/>
      <w:numFmt w:val="bullet"/>
      <w:lvlText w:val="●"/>
      <w:lvlJc w:val="left"/>
      <w:pPr>
        <w:ind w:left="5040" w:hanging="360"/>
      </w:pPr>
    </w:lvl>
    <w:lvl w:ilvl="7" w:tplc="1D6CFEF4">
      <w:start w:val="1"/>
      <w:numFmt w:val="bullet"/>
      <w:lvlText w:val="●"/>
      <w:lvlJc w:val="left"/>
      <w:pPr>
        <w:ind w:left="5760" w:hanging="360"/>
      </w:pPr>
    </w:lvl>
    <w:lvl w:ilvl="8" w:tplc="642E91A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9C447F8"/>
    <w:multiLevelType w:val="hybridMultilevel"/>
    <w:tmpl w:val="7FD8EA82"/>
    <w:lvl w:ilvl="0" w:tplc="3538379C">
      <w:start w:val="1"/>
      <w:numFmt w:val="bullet"/>
      <w:lvlText w:val="•"/>
      <w:lvlJc w:val="left"/>
      <w:pPr>
        <w:ind w:left="720" w:hanging="360"/>
      </w:pPr>
    </w:lvl>
    <w:lvl w:ilvl="1" w:tplc="CC905774">
      <w:numFmt w:val="decimal"/>
      <w:lvlText w:val=""/>
      <w:lvlJc w:val="left"/>
    </w:lvl>
    <w:lvl w:ilvl="2" w:tplc="9948FFFA">
      <w:numFmt w:val="decimal"/>
      <w:lvlText w:val=""/>
      <w:lvlJc w:val="left"/>
    </w:lvl>
    <w:lvl w:ilvl="3" w:tplc="A540FF58">
      <w:numFmt w:val="decimal"/>
      <w:lvlText w:val=""/>
      <w:lvlJc w:val="left"/>
    </w:lvl>
    <w:lvl w:ilvl="4" w:tplc="8BDC029C">
      <w:numFmt w:val="decimal"/>
      <w:lvlText w:val=""/>
      <w:lvlJc w:val="left"/>
    </w:lvl>
    <w:lvl w:ilvl="5" w:tplc="715EC0E2">
      <w:numFmt w:val="decimal"/>
      <w:lvlText w:val=""/>
      <w:lvlJc w:val="left"/>
    </w:lvl>
    <w:lvl w:ilvl="6" w:tplc="11E4AFD6">
      <w:numFmt w:val="decimal"/>
      <w:lvlText w:val=""/>
      <w:lvlJc w:val="left"/>
    </w:lvl>
    <w:lvl w:ilvl="7" w:tplc="458EDCC0">
      <w:numFmt w:val="decimal"/>
      <w:lvlText w:val=""/>
      <w:lvlJc w:val="left"/>
    </w:lvl>
    <w:lvl w:ilvl="8" w:tplc="46BABA02">
      <w:numFmt w:val="decimal"/>
      <w:lvlText w:val=""/>
      <w:lvlJc w:val="left"/>
    </w:lvl>
  </w:abstractNum>
  <w:num w:numId="1" w16cid:durableId="376010295">
    <w:abstractNumId w:val="0"/>
    <w:lvlOverride w:ilvl="0">
      <w:startOverride w:val="1"/>
    </w:lvlOverride>
  </w:num>
  <w:num w:numId="2" w16cid:durableId="8280293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9E"/>
    <w:rsid w:val="0007272B"/>
    <w:rsid w:val="00316A90"/>
    <w:rsid w:val="008D63EC"/>
    <w:rsid w:val="0094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C041D0"/>
  <w15:docId w15:val="{11FF0397-C4B5-CE4C-A55D-B505A060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spacing w:before="320" w:after="160"/>
      <w:outlineLvl w:val="0"/>
    </w:pPr>
    <w:rPr>
      <w:b/>
      <w:bCs/>
      <w:color w:val="1F4E79"/>
      <w:sz w:val="28"/>
      <w:szCs w:val="28"/>
    </w:rPr>
  </w:style>
  <w:style w:type="paragraph" w:styleId="Cmsor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character" w:styleId="Vgjegyzet-hivatkozs">
    <w:name w:val="endnote reference"/>
    <w:uiPriority w:val="99"/>
    <w:semiHidden/>
    <w:unhideWhenUsed/>
    <w:rPr>
      <w:vertAlign w:val="superscript"/>
    </w:rPr>
  </w:style>
  <w:style w:type="paragraph" w:styleId="Vgjegyzetszvege">
    <w:name w:val="endnote text"/>
    <w:link w:val="VgjegyzetszvegeChar"/>
    <w:uiPriority w:val="99"/>
    <w:semiHidden/>
    <w:unhideWhenUsed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1010</Words>
  <Characters>6970</Characters>
  <Application>Microsoft Office Word</Application>
  <DocSecurity>0</DocSecurity>
  <Lines>58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julia.nagy</cp:lastModifiedBy>
  <cp:revision>3</cp:revision>
  <dcterms:created xsi:type="dcterms:W3CDTF">2026-05-09T09:30:00Z</dcterms:created>
  <dcterms:modified xsi:type="dcterms:W3CDTF">2026-05-09T09:34:00Z</dcterms:modified>
</cp:coreProperties>
</file>